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0C29" w14:textId="77777777" w:rsidR="00333911" w:rsidRPr="00333911" w:rsidRDefault="00333911" w:rsidP="00333911">
      <w:pPr>
        <w:shd w:val="clear" w:color="auto" w:fill="FFFFFF"/>
        <w:spacing w:after="120" w:line="240" w:lineRule="auto"/>
        <w:outlineLvl w:val="1"/>
        <w:rPr>
          <w:rFonts w:ascii="Titillium Web" w:eastAsia="Times New Roman" w:hAnsi="Titillium Web" w:cs="Times New Roman"/>
          <w:b/>
          <w:bCs/>
          <w:color w:val="1D334C"/>
          <w:sz w:val="36"/>
          <w:szCs w:val="36"/>
          <w:lang w:eastAsia="it-IT"/>
        </w:rPr>
      </w:pPr>
      <w:r w:rsidRPr="00333911">
        <w:rPr>
          <w:rFonts w:ascii="Titillium Web" w:eastAsia="Times New Roman" w:hAnsi="Titillium Web" w:cs="Times New Roman"/>
          <w:b/>
          <w:bCs/>
          <w:color w:val="1D334C"/>
          <w:sz w:val="36"/>
          <w:szCs w:val="36"/>
          <w:lang w:eastAsia="it-IT"/>
        </w:rPr>
        <w:t>Iscrizioni Primaria 2022/23</w:t>
      </w:r>
    </w:p>
    <w:p w14:paraId="2ADEDEA2" w14:textId="77777777" w:rsidR="00333911" w:rsidRDefault="00333911" w:rsidP="00333911">
      <w:pPr>
        <w:shd w:val="clear" w:color="auto" w:fill="FFFFFF"/>
        <w:spacing w:after="120" w:line="240" w:lineRule="auto"/>
        <w:jc w:val="both"/>
        <w:outlineLvl w:val="2"/>
        <w:rPr>
          <w:rFonts w:ascii="Titillium Web" w:eastAsia="Times New Roman" w:hAnsi="Titillium Web" w:cs="Times New Roman"/>
          <w:b/>
          <w:bCs/>
          <w:color w:val="CA3192"/>
          <w:sz w:val="27"/>
          <w:szCs w:val="27"/>
          <w:lang w:eastAsia="it-IT"/>
        </w:rPr>
      </w:pPr>
    </w:p>
    <w:p w14:paraId="4D12DF52" w14:textId="77777777" w:rsidR="00333911" w:rsidRDefault="00333911" w:rsidP="00333911">
      <w:pPr>
        <w:shd w:val="clear" w:color="auto" w:fill="FFFFFF"/>
        <w:spacing w:after="120" w:line="240" w:lineRule="auto"/>
        <w:jc w:val="both"/>
        <w:outlineLvl w:val="2"/>
        <w:rPr>
          <w:rFonts w:ascii="Titillium Web" w:eastAsia="Times New Roman" w:hAnsi="Titillium Web" w:cs="Times New Roman"/>
          <w:b/>
          <w:bCs/>
          <w:color w:val="CA3192"/>
          <w:sz w:val="27"/>
          <w:szCs w:val="27"/>
          <w:lang w:eastAsia="it-IT"/>
        </w:rPr>
      </w:pPr>
    </w:p>
    <w:p w14:paraId="0BC56DA4" w14:textId="430FB801" w:rsidR="00333911" w:rsidRPr="00333911" w:rsidRDefault="00333911" w:rsidP="00333911">
      <w:pPr>
        <w:shd w:val="clear" w:color="auto" w:fill="FFFFFF"/>
        <w:spacing w:after="120" w:line="240" w:lineRule="auto"/>
        <w:jc w:val="both"/>
        <w:outlineLvl w:val="2"/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</w:pPr>
      <w:r w:rsidRPr="00333911">
        <w:rPr>
          <w:rFonts w:ascii="Titillium Web" w:eastAsia="Times New Roman" w:hAnsi="Titillium Web" w:cs="Times New Roman"/>
          <w:b/>
          <w:bCs/>
          <w:color w:val="CA3192"/>
          <w:sz w:val="27"/>
          <w:szCs w:val="27"/>
          <w:lang w:eastAsia="it-IT"/>
        </w:rPr>
        <w:t>INFORMATIVA GENERALE ISCRIZIONI CLASSI PRIME</w:t>
      </w:r>
    </w:p>
    <w:p w14:paraId="300BD783" w14:textId="77777777" w:rsidR="00333911" w:rsidRPr="00333911" w:rsidRDefault="00333911" w:rsidP="00333911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Si porta a conoscenza degli interessati che per </w:t>
      </w:r>
      <w:proofErr w:type="spellStart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l’a.s.</w:t>
      </w:r>
      <w:proofErr w:type="spellEnd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 2022/2023 le iscrizioni sono regolamentate dalla Nota Ministeriale 29452 del 30 novembre 2021.</w:t>
      </w:r>
    </w:p>
    <w:p w14:paraId="51579980" w14:textId="77777777" w:rsidR="00333911" w:rsidRPr="00333911" w:rsidRDefault="00333911" w:rsidP="00333911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Le domande di iscrizione possono essere presentate dalle ore 8:00 del giorno 4 gennaio 2022 alle ore 20:00 del giorno 28 gennaio 2022</w:t>
      </w: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. Sarà necessario avere una </w:t>
      </w:r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identità digitale</w:t>
      </w: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: si potrà accedere al sistema utilizzando le credenziali </w:t>
      </w:r>
      <w:proofErr w:type="spellStart"/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Spid</w:t>
      </w:r>
      <w:proofErr w:type="spellEnd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 (Sistema Pubblico di Identità Digitale), </w:t>
      </w:r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Cie</w:t>
      </w: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 (Carta di identità elettronica) o </w:t>
      </w:r>
      <w:proofErr w:type="spellStart"/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eIdas</w:t>
      </w:r>
      <w:proofErr w:type="spellEnd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 (</w:t>
      </w:r>
      <w:proofErr w:type="spellStart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electronic</w:t>
      </w:r>
      <w:proofErr w:type="spellEnd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 </w:t>
      </w:r>
      <w:proofErr w:type="spellStart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Identification</w:t>
      </w:r>
      <w:proofErr w:type="spellEnd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 Authentication and Signature). I genitori o coloro che esercitano la responsabilità genitoriale potranno individuare la scuola d’interesse attraverso il </w:t>
      </w:r>
      <w:proofErr w:type="gramStart"/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portale ”</w:t>
      </w:r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Scuola</w:t>
      </w:r>
      <w:proofErr w:type="gramEnd"/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 xml:space="preserve"> in Chiaro</w:t>
      </w: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”, messo a disposizione dal Ministero per dare informazioni dettagliate su ciascun istituto.</w:t>
      </w:r>
    </w:p>
    <w:p w14:paraId="28A8A655" w14:textId="77777777" w:rsidR="00333911" w:rsidRPr="00333911" w:rsidRDefault="00333911" w:rsidP="00333911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Si ricorda l’obbligatorietà degli adempimenti vaccinali pena la decadenza dell’iscrizione</w:t>
      </w:r>
    </w:p>
    <w:p w14:paraId="6901D4C2" w14:textId="77777777" w:rsidR="00333911" w:rsidRPr="00333911" w:rsidRDefault="00333911" w:rsidP="00333911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Relativamente agli </w:t>
      </w:r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adempimenti vaccinali</w:t>
      </w: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, si richiama l’attenzione dei dirigenti scolastici sull’attuazione delle misure di semplificazione previste dall’articolo 3-bis del decreto-legge 7 giugno 2017, n. 73, convertito con modificazioni dalla legge 31 luglio 2017, n. 119, recante </w:t>
      </w:r>
      <w:r w:rsidRPr="00333911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“Disposizioni urgenti in materia di prevenzione vaccinale, di malattie infettive e di controversie relative alla somministrazione di farmaci” </w:t>
      </w:r>
      <w:r w:rsidRPr="00333911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che prevedono, tra l’altro, l’invio da parte dei dirigenti scolastici alle aziende sanitarie locali territorialmente competenti, entro il 10 marzo 2022, dell’elenco degli iscritti sino a sedici anni di età e dei minori stranieri non accompagnati.</w:t>
      </w:r>
    </w:p>
    <w:p w14:paraId="3F282CB0" w14:textId="77777777" w:rsidR="006739C3" w:rsidRDefault="006739C3" w:rsidP="00333911">
      <w:pPr>
        <w:jc w:val="both"/>
      </w:pPr>
    </w:p>
    <w:sectPr w:rsidR="00673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11"/>
    <w:rsid w:val="00333911"/>
    <w:rsid w:val="006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7A2C"/>
  <w15:chartTrackingRefBased/>
  <w15:docId w15:val="{43B1334D-129F-4631-9647-16272A7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Bastiani</dc:creator>
  <cp:keywords/>
  <dc:description/>
  <cp:lastModifiedBy>Beatrice Bastiani</cp:lastModifiedBy>
  <cp:revision>1</cp:revision>
  <dcterms:created xsi:type="dcterms:W3CDTF">2021-12-03T18:18:00Z</dcterms:created>
  <dcterms:modified xsi:type="dcterms:W3CDTF">2021-12-03T18:20:00Z</dcterms:modified>
</cp:coreProperties>
</file>