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E0CB" w14:textId="219BE8B9" w:rsidR="007267F5" w:rsidRPr="003D6949" w:rsidRDefault="003D6949" w:rsidP="003D6949">
      <w:pPr>
        <w:shd w:val="clear" w:color="auto" w:fill="FFFFFF"/>
        <w:spacing w:beforeAutospacing="1" w:after="0" w:afterAutospacing="1" w:line="240" w:lineRule="auto"/>
        <w:jc w:val="center"/>
        <w:rPr>
          <w:rFonts w:ascii="inherit" w:eastAsia="Times New Roman" w:hAnsi="inherit" w:cs="Arial"/>
          <w:b/>
          <w:bCs/>
          <w:color w:val="1F1F1F"/>
          <w:spacing w:val="3"/>
          <w:sz w:val="27"/>
          <w:szCs w:val="27"/>
          <w:lang w:eastAsia="it-IT"/>
        </w:rPr>
      </w:pPr>
      <w:r w:rsidRPr="003D6949">
        <w:rPr>
          <w:rFonts w:ascii="inherit" w:eastAsia="Times New Roman" w:hAnsi="inherit" w:cs="Arial"/>
          <w:b/>
          <w:bCs/>
          <w:color w:val="1F1F1F"/>
          <w:spacing w:val="3"/>
          <w:sz w:val="27"/>
          <w:szCs w:val="27"/>
          <w:lang w:eastAsia="it-IT"/>
        </w:rPr>
        <w:t>DECRETO LEGGE 7 GENNAIO 2022 n.1</w:t>
      </w:r>
    </w:p>
    <w:p w14:paraId="753BB6C7" w14:textId="15762E0A" w:rsidR="003D6949" w:rsidRDefault="003D6949" w:rsidP="003D6949">
      <w:pPr>
        <w:shd w:val="clear" w:color="auto" w:fill="FFFFFF"/>
        <w:spacing w:beforeAutospacing="1" w:after="0" w:afterAutospacing="1" w:line="240" w:lineRule="auto"/>
        <w:jc w:val="center"/>
        <w:rPr>
          <w:rFonts w:ascii="inherit" w:eastAsia="Times New Roman" w:hAnsi="inherit" w:cs="Arial"/>
          <w:b/>
          <w:bCs/>
          <w:color w:val="1F1F1F"/>
          <w:spacing w:val="3"/>
          <w:sz w:val="27"/>
          <w:szCs w:val="27"/>
          <w:lang w:eastAsia="it-IT"/>
        </w:rPr>
      </w:pPr>
      <w:r w:rsidRPr="003D6949">
        <w:rPr>
          <w:rFonts w:ascii="inherit" w:eastAsia="Times New Roman" w:hAnsi="inherit" w:cs="Arial"/>
          <w:b/>
          <w:bCs/>
          <w:color w:val="1F1F1F"/>
          <w:spacing w:val="3"/>
          <w:sz w:val="27"/>
          <w:szCs w:val="27"/>
          <w:lang w:eastAsia="it-IT"/>
        </w:rPr>
        <w:t>NUOVA GESTIONE DELLE QUARANTENE IN AMBITO SCOLASTICO</w:t>
      </w:r>
    </w:p>
    <w:p w14:paraId="71D0E236" w14:textId="77777777" w:rsidR="003D6949" w:rsidRPr="003D6949" w:rsidRDefault="003D6949" w:rsidP="003D6949">
      <w:pPr>
        <w:shd w:val="clear" w:color="auto" w:fill="FFFFFF"/>
        <w:spacing w:beforeAutospacing="1" w:after="0" w:afterAutospacing="1" w:line="240" w:lineRule="auto"/>
        <w:jc w:val="center"/>
        <w:rPr>
          <w:rFonts w:ascii="inherit" w:eastAsia="Times New Roman" w:hAnsi="inherit" w:cs="Arial"/>
          <w:b/>
          <w:bCs/>
          <w:color w:val="1F1F1F"/>
          <w:spacing w:val="3"/>
          <w:sz w:val="27"/>
          <w:szCs w:val="27"/>
          <w:lang w:eastAsia="it-IT"/>
        </w:rPr>
      </w:pPr>
    </w:p>
    <w:p w14:paraId="5FB2FFCA" w14:textId="58981BB5" w:rsidR="007267F5" w:rsidRPr="007267F5" w:rsidRDefault="00BD7509" w:rsidP="007267F5">
      <w:pPr>
        <w:shd w:val="clear" w:color="auto" w:fill="FFFFFF"/>
        <w:spacing w:beforeAutospacing="1" w:after="0" w:afterAutospacing="1" w:line="240" w:lineRule="auto"/>
        <w:rPr>
          <w:rFonts w:ascii="Titillium Web" w:eastAsia="Times New Roman" w:hAnsi="Titillium Web" w:cs="Times New Roman"/>
          <w:color w:val="00004D"/>
          <w:sz w:val="26"/>
          <w:szCs w:val="26"/>
          <w:lang w:eastAsia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589BB4" wp14:editId="2EC2FB5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7509">
        <w:rPr>
          <w:rFonts w:ascii="inherit" w:eastAsia="Times New Roman" w:hAnsi="inherit" w:cs="Arial"/>
          <w:color w:val="1F1F1F"/>
          <w:spacing w:val="3"/>
          <w:sz w:val="27"/>
          <w:szCs w:val="27"/>
          <w:lang w:eastAsia="it-IT"/>
        </w:rPr>
        <w:t xml:space="preserve"> </w:t>
      </w:r>
      <w:r w:rsidR="007267F5" w:rsidRPr="007267F5">
        <w:rPr>
          <w:rFonts w:ascii="Titillium Web" w:eastAsia="Times New Roman" w:hAnsi="Titillium Web" w:cs="Times New Roman"/>
          <w:b/>
          <w:bCs/>
          <w:color w:val="FF9900"/>
          <w:sz w:val="26"/>
          <w:szCs w:val="26"/>
          <w:u w:val="single"/>
          <w:lang w:eastAsia="it-IT"/>
        </w:rPr>
        <w:t>SCUOLA INFANZIA</w:t>
      </w:r>
    </w:p>
    <w:p w14:paraId="29DBA24A" w14:textId="77777777" w:rsidR="007267F5" w:rsidRDefault="007267F5" w:rsidP="007267F5">
      <w:pPr>
        <w:pStyle w:val="Paragrafoelenco"/>
        <w:numPr>
          <w:ilvl w:val="0"/>
          <w:numId w:val="1"/>
        </w:numPr>
        <w:shd w:val="clear" w:color="auto" w:fill="FFFFFF"/>
        <w:spacing w:before="120" w:after="120" w:line="336" w:lineRule="atLeast"/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</w:pPr>
      <w:r w:rsidRPr="007267F5">
        <w:rPr>
          <w:rFonts w:ascii="Titillium Web" w:eastAsia="Times New Roman" w:hAnsi="Titillium Web" w:cs="Times New Roman"/>
          <w:b/>
          <w:bCs/>
          <w:color w:val="222222"/>
          <w:sz w:val="27"/>
          <w:szCs w:val="27"/>
          <w:lang w:eastAsia="it-IT"/>
        </w:rPr>
        <w:t>1 caso positivo nella sezione</w:t>
      </w:r>
      <w:r w:rsidRPr="007267F5"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  <w:t> = </w:t>
      </w:r>
      <w:r w:rsidRPr="007267F5">
        <w:rPr>
          <w:rFonts w:ascii="Titillium Web" w:eastAsia="Times New Roman" w:hAnsi="Titillium Web" w:cs="Times New Roman"/>
          <w:color w:val="222222"/>
          <w:sz w:val="27"/>
          <w:szCs w:val="27"/>
          <w:u w:val="single"/>
          <w:lang w:eastAsia="it-IT"/>
        </w:rPr>
        <w:t>sospensione delle attività</w:t>
      </w:r>
      <w:r w:rsidRPr="007267F5"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  <w:t>, per una durata di </w:t>
      </w:r>
      <w:r w:rsidRPr="007267F5">
        <w:rPr>
          <w:rFonts w:ascii="Titillium Web" w:eastAsia="Times New Roman" w:hAnsi="Titillium Web" w:cs="Times New Roman"/>
          <w:b/>
          <w:bCs/>
          <w:color w:val="222222"/>
          <w:sz w:val="27"/>
          <w:szCs w:val="27"/>
          <w:lang w:eastAsia="it-IT"/>
        </w:rPr>
        <w:t>10 giorni</w:t>
      </w:r>
      <w:r w:rsidRPr="007267F5"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  <w:t>.</w:t>
      </w:r>
      <w:r w:rsidRPr="007267F5"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  <w:t xml:space="preserve"> </w:t>
      </w:r>
    </w:p>
    <w:p w14:paraId="710BE30A" w14:textId="782E78C2" w:rsidR="007267F5" w:rsidRPr="007267F5" w:rsidRDefault="007267F5" w:rsidP="007267F5">
      <w:pPr>
        <w:pStyle w:val="Paragrafoelenco"/>
        <w:numPr>
          <w:ilvl w:val="0"/>
          <w:numId w:val="1"/>
        </w:numPr>
        <w:shd w:val="clear" w:color="auto" w:fill="FFFFFF"/>
        <w:spacing w:before="120" w:after="120" w:line="336" w:lineRule="atLeast"/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</w:pPr>
      <w:r w:rsidRPr="007267F5"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  <w:t xml:space="preserve">Quarantena della durata di </w:t>
      </w:r>
      <w:proofErr w:type="gramStart"/>
      <w:r w:rsidRPr="007267F5"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  <w:t>10</w:t>
      </w:r>
      <w:proofErr w:type="gramEnd"/>
      <w:r w:rsidRPr="007267F5"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  <w:t xml:space="preserve"> giorni con test di uscita – tampone molecolare o antigenico con risultato negativo.</w:t>
      </w:r>
    </w:p>
    <w:p w14:paraId="68269867" w14:textId="2BB19E08" w:rsidR="00480256" w:rsidRPr="007267F5" w:rsidRDefault="00480256" w:rsidP="00480256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1F1F1F"/>
          <w:spacing w:val="3"/>
          <w:sz w:val="27"/>
          <w:szCs w:val="27"/>
          <w:lang w:eastAsia="it-IT"/>
        </w:rPr>
      </w:pPr>
    </w:p>
    <w:p w14:paraId="57F901E0" w14:textId="66724B82" w:rsidR="00480256" w:rsidRPr="00480256" w:rsidRDefault="007267F5" w:rsidP="00480256">
      <w:pPr>
        <w:shd w:val="clear" w:color="auto" w:fill="FFFFFF"/>
        <w:spacing w:before="240" w:after="120" w:line="240" w:lineRule="auto"/>
        <w:outlineLvl w:val="2"/>
        <w:rPr>
          <w:rFonts w:ascii="Titillium Web" w:eastAsia="Times New Roman" w:hAnsi="Titillium Web" w:cs="Times New Roman"/>
          <w:color w:val="00004D"/>
          <w:sz w:val="26"/>
          <w:szCs w:val="26"/>
          <w:lang w:eastAsia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1CD42F" wp14:editId="115743CF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520698" cy="853440"/>
            <wp:effectExtent l="0" t="0" r="3810" b="3810"/>
            <wp:wrapSquare wrapText="bothSides"/>
            <wp:docPr id="2" name="Immagine 2" descr="Immagine che contiene lavagnabian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lavagnabian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698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0256" w:rsidRPr="00480256">
        <w:rPr>
          <w:rFonts w:ascii="Titillium Web" w:eastAsia="Times New Roman" w:hAnsi="Titillium Web" w:cs="Times New Roman"/>
          <w:b/>
          <w:bCs/>
          <w:color w:val="0000FF"/>
          <w:sz w:val="26"/>
          <w:szCs w:val="26"/>
          <w:u w:val="single"/>
          <w:lang w:eastAsia="it-IT"/>
        </w:rPr>
        <w:t>SCUOLA PRIMARIA</w:t>
      </w:r>
    </w:p>
    <w:p w14:paraId="06C9CAB1" w14:textId="77777777" w:rsidR="00480256" w:rsidRPr="00480256" w:rsidRDefault="00480256" w:rsidP="00480256">
      <w:pPr>
        <w:shd w:val="clear" w:color="auto" w:fill="FFFFFF"/>
        <w:spacing w:before="120" w:after="120" w:line="336" w:lineRule="atLeast"/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</w:pPr>
      <w:r w:rsidRPr="00480256">
        <w:rPr>
          <w:rFonts w:ascii="Titillium Web" w:eastAsia="Times New Roman" w:hAnsi="Titillium Web" w:cs="Times New Roman"/>
          <w:b/>
          <w:bCs/>
          <w:color w:val="222222"/>
          <w:sz w:val="27"/>
          <w:szCs w:val="27"/>
          <w:lang w:eastAsia="it-IT"/>
        </w:rPr>
        <w:t>1 caso positivo nella stessa classe</w:t>
      </w:r>
      <w:r w:rsidRPr="00480256"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  <w:t> = si attiva la </w:t>
      </w:r>
      <w:r w:rsidRPr="00480256">
        <w:rPr>
          <w:rFonts w:ascii="Titillium Web" w:eastAsia="Times New Roman" w:hAnsi="Titillium Web" w:cs="Times New Roman"/>
          <w:color w:val="222222"/>
          <w:sz w:val="27"/>
          <w:szCs w:val="27"/>
          <w:u w:val="single"/>
          <w:lang w:eastAsia="it-IT"/>
        </w:rPr>
        <w:t>sorveglianza con testing</w:t>
      </w:r>
      <w:r w:rsidRPr="00480256"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  <w:t> del gruppo classe: l’attività prosegue in presenza effettuando un test antigenico rapido o molecolare appena si viene a conoscenza del caso di positività (T0). Il test sarà ripetuto dopo cinque giorni (T5).</w:t>
      </w:r>
    </w:p>
    <w:p w14:paraId="06719363" w14:textId="77777777" w:rsidR="00480256" w:rsidRPr="00480256" w:rsidRDefault="00480256" w:rsidP="00480256">
      <w:pPr>
        <w:shd w:val="clear" w:color="auto" w:fill="FFFFFF"/>
        <w:spacing w:before="120" w:after="120" w:line="336" w:lineRule="atLeast"/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</w:pPr>
      <w:r w:rsidRPr="00480256">
        <w:rPr>
          <w:rFonts w:ascii="Titillium Web" w:eastAsia="Times New Roman" w:hAnsi="Titillium Web" w:cs="Times New Roman"/>
          <w:b/>
          <w:bCs/>
          <w:color w:val="222222"/>
          <w:sz w:val="27"/>
          <w:szCs w:val="27"/>
          <w:lang w:eastAsia="it-IT"/>
        </w:rPr>
        <w:t>2 o più casi positivi nella stessa classe</w:t>
      </w:r>
      <w:r w:rsidRPr="00480256"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  <w:t> = si attiva la </w:t>
      </w:r>
      <w:r w:rsidRPr="00480256">
        <w:rPr>
          <w:rFonts w:ascii="Titillium Web" w:eastAsia="Times New Roman" w:hAnsi="Titillium Web" w:cs="Times New Roman"/>
          <w:color w:val="222222"/>
          <w:sz w:val="27"/>
          <w:szCs w:val="27"/>
          <w:u w:val="single"/>
          <w:lang w:eastAsia="it-IT"/>
        </w:rPr>
        <w:t>didattica a distanza</w:t>
      </w:r>
      <w:r w:rsidRPr="00480256"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  <w:t> per tutta la classe, per </w:t>
      </w:r>
      <w:r w:rsidRPr="00480256">
        <w:rPr>
          <w:rFonts w:ascii="Titillium Web" w:eastAsia="Times New Roman" w:hAnsi="Titillium Web" w:cs="Times New Roman"/>
          <w:b/>
          <w:bCs/>
          <w:color w:val="222222"/>
          <w:sz w:val="27"/>
          <w:szCs w:val="27"/>
          <w:lang w:eastAsia="it-IT"/>
        </w:rPr>
        <w:t>10 giorni</w:t>
      </w:r>
      <w:r w:rsidRPr="00480256"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  <w:t>.</w:t>
      </w:r>
    </w:p>
    <w:p w14:paraId="50E6C2BF" w14:textId="44D3FC41" w:rsidR="00480256" w:rsidRPr="00480256" w:rsidRDefault="007267F5" w:rsidP="00480256">
      <w:pPr>
        <w:shd w:val="clear" w:color="auto" w:fill="FFFFFF"/>
        <w:spacing w:before="240" w:after="120" w:line="240" w:lineRule="auto"/>
        <w:outlineLvl w:val="2"/>
        <w:rPr>
          <w:rFonts w:ascii="Titillium Web" w:eastAsia="Times New Roman" w:hAnsi="Titillium Web" w:cs="Times New Roman"/>
          <w:color w:val="00004D"/>
          <w:sz w:val="26"/>
          <w:szCs w:val="26"/>
          <w:lang w:eastAsia="it-I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6F535E" wp14:editId="3C82F17A">
            <wp:simplePos x="0" y="0"/>
            <wp:positionH relativeFrom="column">
              <wp:posOffset>-3810</wp:posOffset>
            </wp:positionH>
            <wp:positionV relativeFrom="paragraph">
              <wp:posOffset>77470</wp:posOffset>
            </wp:positionV>
            <wp:extent cx="1402080" cy="852932"/>
            <wp:effectExtent l="0" t="0" r="7620" b="4445"/>
            <wp:wrapSquare wrapText="bothSides"/>
            <wp:docPr id="3" name="Immagine 3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5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0256" w:rsidRPr="00480256">
        <w:rPr>
          <w:rFonts w:ascii="Titillium Web" w:eastAsia="Times New Roman" w:hAnsi="Titillium Web" w:cs="Times New Roman"/>
          <w:b/>
          <w:bCs/>
          <w:color w:val="339966"/>
          <w:sz w:val="26"/>
          <w:szCs w:val="26"/>
          <w:u w:val="single"/>
          <w:lang w:eastAsia="it-IT"/>
        </w:rPr>
        <w:t>SCUOLA SECONDARIA DI I GRADO</w:t>
      </w:r>
    </w:p>
    <w:p w14:paraId="3FCA0728" w14:textId="77777777" w:rsidR="00480256" w:rsidRPr="00480256" w:rsidRDefault="00480256" w:rsidP="00480256">
      <w:pPr>
        <w:shd w:val="clear" w:color="auto" w:fill="FFFFFF"/>
        <w:spacing w:before="120" w:after="120" w:line="336" w:lineRule="atLeast"/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</w:pPr>
      <w:r w:rsidRPr="00480256">
        <w:rPr>
          <w:rFonts w:ascii="Titillium Web" w:eastAsia="Times New Roman" w:hAnsi="Titillium Web" w:cs="Times New Roman"/>
          <w:b/>
          <w:bCs/>
          <w:color w:val="222222"/>
          <w:sz w:val="27"/>
          <w:szCs w:val="27"/>
          <w:lang w:eastAsia="it-IT"/>
        </w:rPr>
        <w:t>1 caso positivo nella stessa classe</w:t>
      </w:r>
      <w:r w:rsidRPr="00480256"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  <w:t> = è prevista l’auto-sorveglianza con la prosecuzione delle attività in presenza e l’uso delle mascherine FFP2.</w:t>
      </w:r>
    </w:p>
    <w:p w14:paraId="44816757" w14:textId="77777777" w:rsidR="00480256" w:rsidRPr="00480256" w:rsidRDefault="00480256" w:rsidP="00480256">
      <w:pPr>
        <w:shd w:val="clear" w:color="auto" w:fill="FFFFFF"/>
        <w:spacing w:before="120" w:after="120" w:line="336" w:lineRule="atLeast"/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</w:pPr>
      <w:r w:rsidRPr="00480256">
        <w:rPr>
          <w:rFonts w:ascii="Titillium Web" w:eastAsia="Times New Roman" w:hAnsi="Titillium Web" w:cs="Times New Roman"/>
          <w:b/>
          <w:bCs/>
          <w:color w:val="222222"/>
          <w:sz w:val="27"/>
          <w:szCs w:val="27"/>
          <w:lang w:eastAsia="it-IT"/>
        </w:rPr>
        <w:t>2 casi positivi nella stessa classe</w:t>
      </w:r>
      <w:r w:rsidRPr="00480256"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  <w:t> = è prevista la </w:t>
      </w:r>
      <w:r w:rsidRPr="00480256">
        <w:rPr>
          <w:rFonts w:ascii="Titillium Web" w:eastAsia="Times New Roman" w:hAnsi="Titillium Web" w:cs="Times New Roman"/>
          <w:color w:val="222222"/>
          <w:sz w:val="27"/>
          <w:szCs w:val="27"/>
          <w:u w:val="single"/>
          <w:lang w:eastAsia="it-IT"/>
        </w:rPr>
        <w:t>didattica digitale integrata</w:t>
      </w:r>
      <w:r w:rsidRPr="00480256"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  <w:t> per coloro che NON sono vaccinati o che NON effettuato il richiamo e che NON hanno completato il ciclo vaccinale da più di 120 giorni e per coloro che sono guariti da più di 120 giorni. Per tutti gli altri è prevista la prosecuzione delle </w:t>
      </w:r>
      <w:r w:rsidRPr="00480256">
        <w:rPr>
          <w:rFonts w:ascii="Titillium Web" w:eastAsia="Times New Roman" w:hAnsi="Titillium Web" w:cs="Times New Roman"/>
          <w:color w:val="222222"/>
          <w:sz w:val="27"/>
          <w:szCs w:val="27"/>
          <w:u w:val="single"/>
          <w:lang w:eastAsia="it-IT"/>
        </w:rPr>
        <w:t>attività in presenza</w:t>
      </w:r>
      <w:r w:rsidRPr="00480256"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  <w:t> con l’auto-sorveglianza e l’utilizzo di mascherine FFP2.</w:t>
      </w:r>
    </w:p>
    <w:p w14:paraId="33665E55" w14:textId="77777777" w:rsidR="00480256" w:rsidRPr="00480256" w:rsidRDefault="00480256" w:rsidP="00480256">
      <w:pPr>
        <w:shd w:val="clear" w:color="auto" w:fill="FFFFFF"/>
        <w:spacing w:before="120" w:after="120" w:line="336" w:lineRule="atLeast"/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</w:pPr>
      <w:r w:rsidRPr="00480256">
        <w:rPr>
          <w:rFonts w:ascii="Titillium Web" w:eastAsia="Times New Roman" w:hAnsi="Titillium Web" w:cs="Times New Roman"/>
          <w:b/>
          <w:bCs/>
          <w:color w:val="222222"/>
          <w:sz w:val="27"/>
          <w:szCs w:val="27"/>
          <w:lang w:eastAsia="it-IT"/>
        </w:rPr>
        <w:t>3 o più casi positivi nella stessa classe</w:t>
      </w:r>
      <w:r w:rsidRPr="00480256"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  <w:t> = è prevista la </w:t>
      </w:r>
      <w:r w:rsidRPr="00480256">
        <w:rPr>
          <w:rFonts w:ascii="Titillium Web" w:eastAsia="Times New Roman" w:hAnsi="Titillium Web" w:cs="Times New Roman"/>
          <w:color w:val="222222"/>
          <w:sz w:val="27"/>
          <w:szCs w:val="27"/>
          <w:u w:val="single"/>
          <w:lang w:eastAsia="it-IT"/>
        </w:rPr>
        <w:t>didattica a distanza</w:t>
      </w:r>
      <w:r w:rsidRPr="00480256"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  <w:t> per </w:t>
      </w:r>
      <w:r w:rsidRPr="00480256">
        <w:rPr>
          <w:rFonts w:ascii="Titillium Web" w:eastAsia="Times New Roman" w:hAnsi="Titillium Web" w:cs="Times New Roman"/>
          <w:b/>
          <w:bCs/>
          <w:color w:val="222222"/>
          <w:sz w:val="27"/>
          <w:szCs w:val="27"/>
          <w:lang w:eastAsia="it-IT"/>
        </w:rPr>
        <w:t>10 giorni </w:t>
      </w:r>
      <w:r w:rsidRPr="00480256">
        <w:rPr>
          <w:rFonts w:ascii="Titillium Web" w:eastAsia="Times New Roman" w:hAnsi="Titillium Web" w:cs="Times New Roman"/>
          <w:color w:val="222222"/>
          <w:sz w:val="27"/>
          <w:szCs w:val="27"/>
          <w:lang w:eastAsia="it-IT"/>
        </w:rPr>
        <w:t>per tutta la classe.</w:t>
      </w:r>
    </w:p>
    <w:p w14:paraId="717E9FC0" w14:textId="77777777" w:rsidR="00480256" w:rsidRPr="00BD7509" w:rsidRDefault="00480256" w:rsidP="00480256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1F1F1F"/>
          <w:spacing w:val="3"/>
          <w:sz w:val="27"/>
          <w:szCs w:val="27"/>
          <w:lang w:eastAsia="it-IT"/>
        </w:rPr>
      </w:pPr>
    </w:p>
    <w:p w14:paraId="2598B87F" w14:textId="514E6454" w:rsidR="00E04D2B" w:rsidRDefault="00BD7509">
      <w:r>
        <w:lastRenderedPageBreak/>
        <w:br w:type="textWrapping" w:clear="all"/>
      </w:r>
    </w:p>
    <w:sectPr w:rsidR="00E04D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1DF6" w14:textId="77777777" w:rsidR="001B4744" w:rsidRDefault="001B4744" w:rsidP="007267F5">
      <w:pPr>
        <w:spacing w:after="0" w:line="240" w:lineRule="auto"/>
      </w:pPr>
      <w:r>
        <w:separator/>
      </w:r>
    </w:p>
  </w:endnote>
  <w:endnote w:type="continuationSeparator" w:id="0">
    <w:p w14:paraId="51B75CFE" w14:textId="77777777" w:rsidR="001B4744" w:rsidRDefault="001B4744" w:rsidP="0072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28F5" w14:textId="77777777" w:rsidR="001B4744" w:rsidRDefault="001B4744" w:rsidP="007267F5">
      <w:pPr>
        <w:spacing w:after="0" w:line="240" w:lineRule="auto"/>
      </w:pPr>
      <w:r>
        <w:separator/>
      </w:r>
    </w:p>
  </w:footnote>
  <w:footnote w:type="continuationSeparator" w:id="0">
    <w:p w14:paraId="0EF3659D" w14:textId="77777777" w:rsidR="001B4744" w:rsidRDefault="001B4744" w:rsidP="00726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F55EF"/>
    <w:multiLevelType w:val="multilevel"/>
    <w:tmpl w:val="01BC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09"/>
    <w:rsid w:val="001B4744"/>
    <w:rsid w:val="003D6949"/>
    <w:rsid w:val="00480256"/>
    <w:rsid w:val="007267F5"/>
    <w:rsid w:val="00BD7509"/>
    <w:rsid w:val="00E0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0A6D"/>
  <w15:chartTrackingRefBased/>
  <w15:docId w15:val="{EF7C518F-9591-40AF-B991-114885C9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26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267F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267F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2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267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7F5"/>
  </w:style>
  <w:style w:type="paragraph" w:styleId="Pidipagina">
    <w:name w:val="footer"/>
    <w:basedOn w:val="Normale"/>
    <w:link w:val="PidipaginaCarattere"/>
    <w:uiPriority w:val="99"/>
    <w:unhideWhenUsed/>
    <w:rsid w:val="0072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Bastiani</dc:creator>
  <cp:keywords/>
  <dc:description/>
  <cp:lastModifiedBy>Beatrice Bastiani</cp:lastModifiedBy>
  <cp:revision>1</cp:revision>
  <dcterms:created xsi:type="dcterms:W3CDTF">2022-01-15T14:44:00Z</dcterms:created>
  <dcterms:modified xsi:type="dcterms:W3CDTF">2022-01-15T15:01:00Z</dcterms:modified>
</cp:coreProperties>
</file>